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E81787">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E81787">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E81787">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E81787">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 xml:space="preserve">Maliyyə, Əməliyyatlar, Komplayns və AML funksiyalarına cavabdehdir; Baş Biznes İnzibatçısı (sədrin birinci müavini)-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bookmarkStart w:id="4" w:name="_GoBack"/>
      <w:bookmarkEnd w:id="4"/>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2AF50F41" w:rsidR="00156E16" w:rsidRDefault="00156E16" w:rsidP="00156E16">
      <w:pPr>
        <w:tabs>
          <w:tab w:val="left" w:pos="0"/>
        </w:tabs>
        <w:spacing w:before="120" w:after="120"/>
        <w:jc w:val="both"/>
        <w:rPr>
          <w:rFonts w:ascii="Palatino Linotype" w:hAnsi="Palatino Linotype"/>
          <w:sz w:val="22"/>
          <w:szCs w:val="22"/>
          <w:lang w:val="az-Latn-AZ"/>
        </w:rPr>
      </w:pPr>
    </w:p>
    <w:p w14:paraId="16570296" w14:textId="4E5CC1DC" w:rsidR="00156E16" w:rsidRDefault="00156E16" w:rsidP="00156E16">
      <w:pPr>
        <w:tabs>
          <w:tab w:val="left" w:pos="0"/>
        </w:tabs>
        <w:spacing w:before="120" w:after="120"/>
        <w:jc w:val="both"/>
        <w:rPr>
          <w:rFonts w:ascii="Palatino Linotype" w:hAnsi="Palatino Linotype"/>
          <w:sz w:val="22"/>
          <w:szCs w:val="22"/>
          <w:lang w:val="az-Latn-AZ"/>
        </w:rPr>
      </w:pPr>
    </w:p>
    <w:bookmarkStart w:id="5" w:name="_MON_1688905318"/>
    <w:bookmarkEnd w:id="5"/>
    <w:p w14:paraId="7A6E1F8B" w14:textId="210E1627" w:rsidR="00156E16" w:rsidRDefault="00C62657" w:rsidP="00156E16">
      <w:pPr>
        <w:rPr>
          <w:rFonts w:ascii="Arial" w:hAnsi="Arial" w:cs="Arial"/>
          <w:color w:val="000000"/>
          <w:lang w:val="az-Latn-AZ"/>
        </w:rPr>
      </w:pPr>
      <w:r>
        <w:rPr>
          <w:rFonts w:ascii="Arial" w:hAnsi="Arial" w:cs="Arial"/>
          <w:color w:val="000000"/>
          <w:lang w:val="az-Latn-AZ"/>
        </w:rPr>
        <w:object w:dxaOrig="1505" w:dyaOrig="981" w14:anchorId="453DA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5.5pt;height:49pt" o:ole="">
            <v:imagedata r:id="rId8" o:title=""/>
          </v:shape>
          <o:OLEObject Type="Embed" ProgID="Excel.Sheet.12" ShapeID="_x0000_i1052" DrawAspect="Icon" ObjectID="_1688905375" r:id="rId9"/>
        </w:object>
      </w:r>
      <w:bookmarkStart w:id="6" w:name="_MON_1688905306"/>
      <w:bookmarkEnd w:id="6"/>
      <w:r>
        <w:rPr>
          <w:rFonts w:ascii="Arial" w:hAnsi="Arial" w:cs="Arial"/>
          <w:color w:val="000000"/>
          <w:lang w:val="az-Latn-AZ"/>
        </w:rPr>
        <w:object w:dxaOrig="1505" w:dyaOrig="981" w14:anchorId="40BD0D90">
          <v:shape id="_x0000_i1050" type="#_x0000_t75" style="width:75.5pt;height:49pt" o:ole="">
            <v:imagedata r:id="rId10" o:title=""/>
          </v:shape>
          <o:OLEObject Type="Embed" ProgID="Excel.Sheet.12" ShapeID="_x0000_i1050" DrawAspect="Icon" ObjectID="_1688905376" r:id="rId11"/>
        </w:object>
      </w:r>
      <w:bookmarkStart w:id="7" w:name="_MON_1688905296"/>
      <w:bookmarkEnd w:id="7"/>
      <w:r>
        <w:rPr>
          <w:rFonts w:ascii="Arial" w:hAnsi="Arial" w:cs="Arial"/>
          <w:color w:val="000000"/>
          <w:lang w:val="az-Latn-AZ"/>
        </w:rPr>
        <w:object w:dxaOrig="1505" w:dyaOrig="981" w14:anchorId="5F5315B5">
          <v:shape id="_x0000_i1048" type="#_x0000_t75" style="width:75.5pt;height:49pt" o:ole="">
            <v:imagedata r:id="rId12" o:title=""/>
          </v:shape>
          <o:OLEObject Type="Embed" ProgID="Excel.Sheet.12" ShapeID="_x0000_i1048" DrawAspect="Icon" ObjectID="_1688905377" r:id="rId13"/>
        </w:object>
      </w:r>
      <w:bookmarkStart w:id="8" w:name="_MON_1688905269"/>
      <w:bookmarkEnd w:id="8"/>
      <w:r>
        <w:rPr>
          <w:rFonts w:ascii="Arial" w:hAnsi="Arial" w:cs="Arial"/>
          <w:color w:val="000000"/>
          <w:lang w:val="az-Latn-AZ"/>
        </w:rPr>
        <w:object w:dxaOrig="1505" w:dyaOrig="981" w14:anchorId="5C55FF95">
          <v:shape id="_x0000_i1046" type="#_x0000_t75" style="width:75.5pt;height:49pt" o:ole="">
            <v:imagedata r:id="rId14" o:title=""/>
          </v:shape>
          <o:OLEObject Type="Embed" ProgID="Excel.Sheet.12" ShapeID="_x0000_i1046" DrawAspect="Icon" ObjectID="_1688905378" r:id="rId15"/>
        </w:object>
      </w:r>
    </w:p>
    <w:p w14:paraId="5785E133" w14:textId="77777777" w:rsidR="00156E16" w:rsidRPr="00156E16" w:rsidRDefault="00156E16" w:rsidP="00156E16">
      <w:pPr>
        <w:tabs>
          <w:tab w:val="left" w:pos="0"/>
        </w:tabs>
        <w:spacing w:before="120" w:after="120"/>
        <w:jc w:val="both"/>
        <w:rPr>
          <w:rFonts w:ascii="Palatino Linotype" w:hAnsi="Palatino Linotype"/>
          <w:sz w:val="22"/>
          <w:szCs w:val="22"/>
          <w:lang w:val="az-Latn-AZ"/>
        </w:rPr>
      </w:pPr>
    </w:p>
    <w:sectPr w:rsidR="00156E16" w:rsidRPr="00156E16"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B842" w14:textId="77777777" w:rsidR="00E81787" w:rsidRDefault="00E81787" w:rsidP="00984F1A">
      <w:r>
        <w:separator/>
      </w:r>
    </w:p>
  </w:endnote>
  <w:endnote w:type="continuationSeparator" w:id="0">
    <w:p w14:paraId="10746CE5" w14:textId="77777777" w:rsidR="00E81787" w:rsidRDefault="00E81787"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0710" w14:textId="77777777" w:rsidR="00E81787" w:rsidRDefault="00E81787" w:rsidP="00984F1A">
      <w:r>
        <w:separator/>
      </w:r>
    </w:p>
  </w:footnote>
  <w:footnote w:type="continuationSeparator" w:id="0">
    <w:p w14:paraId="21AD9ABB" w14:textId="77777777" w:rsidR="00E81787" w:rsidRDefault="00E81787"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68628022"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C62657">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C62657">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57CC"/>
    <w:rsid w:val="002C5AE9"/>
    <w:rsid w:val="002C696C"/>
    <w:rsid w:val="002D084F"/>
    <w:rsid w:val="002D0CB6"/>
    <w:rsid w:val="002D102E"/>
    <w:rsid w:val="002D1411"/>
    <w:rsid w:val="002D2AAF"/>
    <w:rsid w:val="002D2B72"/>
    <w:rsid w:val="002D319D"/>
    <w:rsid w:val="002D35D5"/>
    <w:rsid w:val="002D4BC8"/>
    <w:rsid w:val="002D61AD"/>
    <w:rsid w:val="002D724A"/>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0A233-735A-4CC7-BC37-821CEF94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2092</Words>
  <Characters>11925</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2</cp:revision>
  <cp:lastPrinted>2019-11-08T15:11:00Z</cp:lastPrinted>
  <dcterms:created xsi:type="dcterms:W3CDTF">2021-07-27T11:36:00Z</dcterms:created>
  <dcterms:modified xsi:type="dcterms:W3CDTF">2021-07-27T11:36:00Z</dcterms:modified>
</cp:coreProperties>
</file>